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0D95" w14:textId="3BEF2AA3" w:rsidR="00F509FC" w:rsidRPr="009602EF" w:rsidRDefault="00F509FC" w:rsidP="00F509FC">
      <w:pPr>
        <w:spacing w:before="120" w:after="120"/>
        <w:ind w:left="0"/>
        <w:rPr>
          <w:rFonts w:ascii="Aptos" w:hAnsi="Aptos"/>
          <w:color w:val="000000" w:themeColor="text1"/>
          <w:sz w:val="24"/>
          <w:u w:val="single"/>
        </w:rPr>
      </w:pPr>
      <w:r w:rsidRPr="009602EF">
        <w:rPr>
          <w:rFonts w:ascii="Aptos" w:hAnsi="Aptos"/>
          <w:bCs/>
          <w:color w:val="000000" w:themeColor="text1"/>
          <w:sz w:val="22"/>
          <w:szCs w:val="22"/>
        </w:rPr>
        <w:t xml:space="preserve">Note: All forms and spreadsheets referenced in the table below are available on the Division of State Human Resources section of the South Carolina Department of Administration website, </w:t>
      </w:r>
      <w:hyperlink r:id="rId6" w:history="1">
        <w:r w:rsidRPr="009602EF">
          <w:rPr>
            <w:rStyle w:val="Hyperlink"/>
            <w:rFonts w:ascii="Aptos" w:hAnsi="Aptos"/>
            <w:bCs/>
            <w:sz w:val="22"/>
            <w:szCs w:val="22"/>
          </w:rPr>
          <w:t>admin.sc.gov</w:t>
        </w:r>
      </w:hyperlink>
      <w:r w:rsidRPr="009602EF">
        <w:rPr>
          <w:rFonts w:ascii="Aptos" w:hAnsi="Aptos"/>
          <w:bCs/>
          <w:color w:val="000000" w:themeColor="text1"/>
          <w:sz w:val="22"/>
          <w:szCs w:val="22"/>
        </w:rPr>
        <w:t>.</w:t>
      </w: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8"/>
        <w:gridCol w:w="4798"/>
        <w:gridCol w:w="4799"/>
      </w:tblGrid>
      <w:tr w:rsidR="00F509FC" w:rsidRPr="009A13F3" w14:paraId="5D98FA21" w14:textId="77777777" w:rsidTr="002B0400">
        <w:trPr>
          <w:trHeight w:val="478"/>
          <w:tblHeader/>
        </w:trPr>
        <w:tc>
          <w:tcPr>
            <w:tcW w:w="4798" w:type="dxa"/>
            <w:shd w:val="clear" w:color="auto" w:fill="003B70"/>
            <w:vAlign w:val="center"/>
            <w:hideMark/>
          </w:tcPr>
          <w:p w14:paraId="7AE6E577" w14:textId="77777777" w:rsidR="00F509FC" w:rsidRPr="009602EF" w:rsidRDefault="00F509FC" w:rsidP="002B0400">
            <w:pPr>
              <w:pStyle w:val="Heading4"/>
              <w:spacing w:before="0" w:after="0"/>
              <w:jc w:val="center"/>
              <w:rPr>
                <w:rFonts w:ascii="Aptos" w:hAnsi="Aptos" w:cs="Calibri"/>
                <w:bCs/>
                <w:i w:val="0"/>
                <w:iCs w:val="0"/>
                <w:color w:val="FFFFFF" w:themeColor="background1"/>
                <w:sz w:val="32"/>
              </w:rPr>
            </w:pPr>
            <w:r w:rsidRPr="009602EF">
              <w:rPr>
                <w:rStyle w:val="Strong"/>
                <w:rFonts w:ascii="Aptos" w:hAnsi="Aptos" w:cs="Calibri"/>
                <w:bCs w:val="0"/>
                <w:i w:val="0"/>
                <w:iCs w:val="0"/>
                <w:color w:val="FFFFFF" w:themeColor="background1"/>
                <w:sz w:val="32"/>
              </w:rPr>
              <w:t>Requested Information</w:t>
            </w:r>
          </w:p>
        </w:tc>
        <w:tc>
          <w:tcPr>
            <w:tcW w:w="4798" w:type="dxa"/>
            <w:shd w:val="clear" w:color="auto" w:fill="003B70"/>
            <w:vAlign w:val="center"/>
            <w:hideMark/>
          </w:tcPr>
          <w:p w14:paraId="06FE0C5B" w14:textId="77777777" w:rsidR="00F509FC" w:rsidRPr="009602EF" w:rsidRDefault="00F509FC" w:rsidP="002B0400">
            <w:pPr>
              <w:pStyle w:val="Heading4"/>
              <w:spacing w:before="0" w:after="0"/>
              <w:jc w:val="center"/>
              <w:rPr>
                <w:rFonts w:ascii="Aptos" w:hAnsi="Aptos" w:cs="Calibri"/>
                <w:bCs/>
                <w:i w:val="0"/>
                <w:iCs w:val="0"/>
                <w:color w:val="FFFFFF" w:themeColor="background1"/>
                <w:sz w:val="32"/>
              </w:rPr>
            </w:pPr>
            <w:r w:rsidRPr="009602EF">
              <w:rPr>
                <w:rStyle w:val="Strong"/>
                <w:rFonts w:ascii="Aptos" w:hAnsi="Aptos" w:cs="Calibri"/>
                <w:bCs w:val="0"/>
                <w:i w:val="0"/>
                <w:iCs w:val="0"/>
                <w:color w:val="FFFFFF" w:themeColor="background1"/>
                <w:sz w:val="32"/>
              </w:rPr>
              <w:t>Source</w:t>
            </w:r>
          </w:p>
        </w:tc>
        <w:tc>
          <w:tcPr>
            <w:tcW w:w="4799" w:type="dxa"/>
            <w:shd w:val="clear" w:color="auto" w:fill="003B70"/>
            <w:vAlign w:val="center"/>
            <w:hideMark/>
          </w:tcPr>
          <w:p w14:paraId="5B2CB7EE" w14:textId="77777777" w:rsidR="00F509FC" w:rsidRPr="009602EF" w:rsidRDefault="00F509FC" w:rsidP="002B0400">
            <w:pPr>
              <w:pStyle w:val="Heading4"/>
              <w:spacing w:before="0" w:after="0"/>
              <w:ind w:left="-24"/>
              <w:jc w:val="center"/>
              <w:rPr>
                <w:rFonts w:ascii="Aptos" w:hAnsi="Aptos" w:cs="Calibri"/>
                <w:bCs/>
                <w:i w:val="0"/>
                <w:iCs w:val="0"/>
                <w:color w:val="FFFFFF" w:themeColor="background1"/>
                <w:sz w:val="32"/>
              </w:rPr>
            </w:pPr>
            <w:r w:rsidRPr="009602EF">
              <w:rPr>
                <w:rStyle w:val="Strong"/>
                <w:rFonts w:ascii="Aptos" w:hAnsi="Aptos" w:cs="Calibri"/>
                <w:bCs w:val="0"/>
                <w:i w:val="0"/>
                <w:iCs w:val="0"/>
                <w:color w:val="FFFFFF" w:themeColor="background1"/>
                <w:sz w:val="32"/>
              </w:rPr>
              <w:t>Requested Date</w:t>
            </w:r>
          </w:p>
        </w:tc>
      </w:tr>
      <w:tr w:rsidR="00F509FC" w:rsidRPr="009A13F3" w14:paraId="6F42D2BE" w14:textId="77777777" w:rsidTr="002B0400">
        <w:trPr>
          <w:trHeight w:val="1350"/>
        </w:trPr>
        <w:tc>
          <w:tcPr>
            <w:tcW w:w="4798" w:type="dxa"/>
            <w:vAlign w:val="center"/>
            <w:hideMark/>
          </w:tcPr>
          <w:p w14:paraId="50C0A791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Voluntary Separation Program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hyperlink r:id="rId7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Cost Estimate Form</w:t>
              </w:r>
            </w:hyperlink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t> </w:t>
            </w:r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br/>
            </w:r>
            <w:hyperlink r:id="rId8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Reporting Form</w:t>
              </w:r>
            </w:hyperlink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t> 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t>- All Agencies</w:t>
            </w:r>
          </w:p>
        </w:tc>
        <w:tc>
          <w:tcPr>
            <w:tcW w:w="4798" w:type="dxa"/>
            <w:vAlign w:val="center"/>
            <w:hideMark/>
          </w:tcPr>
          <w:p w14:paraId="09E94EE1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Section 117.32 of the 2025-2026 Appropriations Act (Voluntary Separation </w:t>
            </w:r>
          </w:p>
          <w:p w14:paraId="5683C21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Incentive Program)</w:t>
            </w:r>
          </w:p>
        </w:tc>
        <w:tc>
          <w:tcPr>
            <w:tcW w:w="4799" w:type="dxa"/>
            <w:vAlign w:val="center"/>
            <w:hideMark/>
          </w:tcPr>
          <w:p w14:paraId="17BAAB1A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 15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78E464C1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719BBC1B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Retirement Incentive Program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hyperlink r:id="rId9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Cost Estimate Form</w:t>
              </w:r>
            </w:hyperlink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t> </w:t>
            </w:r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br/>
            </w:r>
            <w:hyperlink r:id="rId10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Reporting Form</w:t>
              </w:r>
            </w:hyperlink>
            <w:r w:rsidRPr="009602EF">
              <w:rPr>
                <w:rFonts w:ascii="Aptos" w:hAnsi="Aptos" w:cstheme="minorHAnsi"/>
                <w:color w:val="333333"/>
                <w:sz w:val="24"/>
              </w:rPr>
              <w:t> - All Agencies</w:t>
            </w:r>
          </w:p>
        </w:tc>
        <w:tc>
          <w:tcPr>
            <w:tcW w:w="4798" w:type="dxa"/>
            <w:vAlign w:val="center"/>
          </w:tcPr>
          <w:p w14:paraId="7E8C4606" w14:textId="77777777" w:rsidR="00F509FC" w:rsidRPr="009602EF" w:rsidRDefault="00F509FC" w:rsidP="002B0400">
            <w:pPr>
              <w:ind w:left="0"/>
              <w:jc w:val="center"/>
              <w:rPr>
                <w:rStyle w:val="Strong"/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S.C. Code Sections 9-1-1140 (I) and</w:t>
            </w:r>
          </w:p>
          <w:p w14:paraId="66675BDF" w14:textId="77777777" w:rsidR="00F509FC" w:rsidRPr="009602EF" w:rsidRDefault="00F509FC" w:rsidP="002B0400">
            <w:pPr>
              <w:ind w:left="0"/>
              <w:jc w:val="center"/>
              <w:rPr>
                <w:rStyle w:val="Strong"/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9-11-50 (I)</w:t>
            </w:r>
          </w:p>
        </w:tc>
        <w:tc>
          <w:tcPr>
            <w:tcW w:w="4799" w:type="dxa"/>
            <w:vAlign w:val="center"/>
          </w:tcPr>
          <w:p w14:paraId="263C786B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 15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51B3812E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6CFA2FAE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000000" w:themeColor="text1"/>
                <w:sz w:val="24"/>
              </w:rPr>
            </w:pPr>
            <w:hyperlink r:id="rId11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Furlough</w:t>
              </w:r>
            </w:hyperlink>
          </w:p>
          <w:p w14:paraId="550411E2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(Mandatory and Voluntary) -</w:t>
            </w:r>
          </w:p>
          <w:p w14:paraId="182EE5B1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All Agencies</w:t>
            </w:r>
          </w:p>
        </w:tc>
        <w:tc>
          <w:tcPr>
            <w:tcW w:w="4798" w:type="dxa"/>
            <w:vAlign w:val="center"/>
          </w:tcPr>
          <w:p w14:paraId="5A2E81EE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S.C. Code Sections 8-11-192 and 8-11-193</w:t>
            </w:r>
          </w:p>
          <w:p w14:paraId="453B5E01" w14:textId="77777777" w:rsidR="00F509FC" w:rsidRPr="009602EF" w:rsidRDefault="00F509FC" w:rsidP="002B0400">
            <w:pPr>
              <w:ind w:left="-149"/>
              <w:jc w:val="center"/>
              <w:rPr>
                <w:rFonts w:ascii="Aptos" w:hAnsi="Aptos"/>
                <w:sz w:val="24"/>
              </w:rPr>
            </w:pPr>
            <w:r w:rsidRPr="009602EF">
              <w:rPr>
                <w:rFonts w:ascii="Aptos" w:hAnsi="Aptos"/>
                <w:sz w:val="24"/>
              </w:rPr>
              <w:t>Sections 117.64 and 117.70 of the</w:t>
            </w:r>
            <w:r w:rsidRPr="009602EF">
              <w:rPr>
                <w:rFonts w:ascii="Aptos" w:hAnsi="Aptos"/>
              </w:rPr>
              <w:t xml:space="preserve"> 2025-</w:t>
            </w:r>
            <w:r w:rsidRPr="009602EF">
              <w:rPr>
                <w:rFonts w:ascii="Aptos" w:hAnsi="Aptos"/>
                <w:sz w:val="24"/>
              </w:rPr>
              <w:t>2026 Appropriations Act (Voluntary Furlough)</w:t>
            </w:r>
          </w:p>
          <w:p w14:paraId="11921E57" w14:textId="77777777" w:rsidR="00F509FC" w:rsidRPr="009602EF" w:rsidRDefault="00F509FC" w:rsidP="002B0400">
            <w:pPr>
              <w:ind w:left="-149"/>
              <w:jc w:val="center"/>
              <w:rPr>
                <w:rStyle w:val="Strong"/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/>
                <w:sz w:val="24"/>
              </w:rPr>
              <w:t>(Mandatory Furlough)</w:t>
            </w:r>
          </w:p>
        </w:tc>
        <w:tc>
          <w:tcPr>
            <w:tcW w:w="4799" w:type="dxa"/>
            <w:vAlign w:val="center"/>
          </w:tcPr>
          <w:p w14:paraId="2DA29825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 15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65D642AD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6E6FB553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hyperlink r:id="rId12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Telecommuting</w:t>
              </w:r>
            </w:hyperlink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</w:t>
            </w:r>
          </w:p>
          <w:p w14:paraId="4E8C1568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Form - All Agencies</w:t>
            </w:r>
          </w:p>
        </w:tc>
        <w:tc>
          <w:tcPr>
            <w:tcW w:w="4798" w:type="dxa"/>
            <w:vAlign w:val="center"/>
          </w:tcPr>
          <w:p w14:paraId="6F1E121E" w14:textId="77777777" w:rsidR="00F509FC" w:rsidRPr="009602EF" w:rsidRDefault="00F509FC" w:rsidP="002B0400">
            <w:pPr>
              <w:ind w:left="0"/>
              <w:jc w:val="center"/>
              <w:rPr>
                <w:rStyle w:val="Strong"/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State Employee Telecommuting Guidelines</w:t>
            </w:r>
          </w:p>
        </w:tc>
        <w:tc>
          <w:tcPr>
            <w:tcW w:w="4799" w:type="dxa"/>
            <w:vAlign w:val="center"/>
          </w:tcPr>
          <w:p w14:paraId="6FA9F2D8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 15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5C1217AA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67C8CA93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lastRenderedPageBreak/>
              <w:t>Bonuses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hyperlink r:id="rId13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Spreadsheet</w:t>
              </w:r>
            </w:hyperlink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t xml:space="preserve"> 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t>- Higher Education Agencies</w:t>
            </w:r>
          </w:p>
          <w:p w14:paraId="1D10608A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185460A2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0185- SCEIS Agencies</w:t>
            </w:r>
          </w:p>
        </w:tc>
        <w:tc>
          <w:tcPr>
            <w:tcW w:w="4798" w:type="dxa"/>
            <w:vAlign w:val="center"/>
          </w:tcPr>
          <w:p w14:paraId="780BD9C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Section 117.52 of the 2025-2026 Appropriations Act (Employee Bonuses)</w:t>
            </w:r>
          </w:p>
        </w:tc>
        <w:tc>
          <w:tcPr>
            <w:tcW w:w="4799" w:type="dxa"/>
            <w:vAlign w:val="center"/>
          </w:tcPr>
          <w:p w14:paraId="79AF7B17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 31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5F438E56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3D22CDC4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hyperlink r:id="rId14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Monetary Awards</w:t>
              </w:r>
            </w:hyperlink>
          </w:p>
          <w:p w14:paraId="7B3CBF73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Spreadsheet - Higher Education Agencies</w:t>
            </w:r>
          </w:p>
          <w:p w14:paraId="6489AA84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105F8104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0185 - SCEIS Agencies</w:t>
            </w:r>
          </w:p>
          <w:p w14:paraId="3AE541FB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</w:p>
        </w:tc>
        <w:tc>
          <w:tcPr>
            <w:tcW w:w="4798" w:type="dxa"/>
            <w:vAlign w:val="center"/>
          </w:tcPr>
          <w:p w14:paraId="0821179F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Section 117.15 of the 2025-2026 Appropriations Act (Allowance for Residences and Compensation Restrictions)</w:t>
            </w:r>
          </w:p>
        </w:tc>
        <w:tc>
          <w:tcPr>
            <w:tcW w:w="4799" w:type="dxa"/>
            <w:vAlign w:val="center"/>
          </w:tcPr>
          <w:p w14:paraId="7893F5A4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 31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7DA4C566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3DB85987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Salary Supplements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br/>
            </w:r>
            <w:hyperlink r:id="rId15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Spreadsheet</w:t>
              </w:r>
            </w:hyperlink>
            <w:r w:rsidRPr="009602EF">
              <w:rPr>
                <w:rFonts w:ascii="Aptos" w:hAnsi="Aptos" w:cstheme="minorHAnsi"/>
                <w:color w:val="333333"/>
                <w:sz w:val="24"/>
              </w:rPr>
              <w:t> - Higher Education Agencies</w:t>
            </w:r>
          </w:p>
          <w:p w14:paraId="644F532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5236DBF5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0185 - SCEIS Agencies</w:t>
            </w:r>
          </w:p>
        </w:tc>
        <w:tc>
          <w:tcPr>
            <w:tcW w:w="4798" w:type="dxa"/>
            <w:vAlign w:val="center"/>
          </w:tcPr>
          <w:p w14:paraId="1DA13473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Section 93.3 of the 2025-2026 Appropriations Act </w:t>
            </w:r>
            <w:r w:rsidRPr="009602EF">
              <w:rPr>
                <w:rFonts w:ascii="Aptos" w:hAnsi="Aptos"/>
                <w:sz w:val="24"/>
              </w:rPr>
              <w:t>(Compensation-Reporting of Supplemental Salaries)</w:t>
            </w:r>
          </w:p>
        </w:tc>
        <w:tc>
          <w:tcPr>
            <w:tcW w:w="4799" w:type="dxa"/>
            <w:vAlign w:val="center"/>
          </w:tcPr>
          <w:p w14:paraId="4C65EF93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fiscal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</w:t>
            </w:r>
            <w:r w:rsidRPr="009602EF">
              <w:rPr>
                <w:rStyle w:val="Strong"/>
                <w:rFonts w:ascii="Aptos" w:hAnsi="Aptos"/>
                <w:color w:val="333333"/>
                <w:sz w:val="24"/>
              </w:rPr>
              <w:t xml:space="preserve"> 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31.</w:t>
            </w:r>
          </w:p>
        </w:tc>
      </w:tr>
      <w:tr w:rsidR="00F509FC" w:rsidRPr="009A13F3" w14:paraId="6FC1BD0A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3535C295" w14:textId="77777777" w:rsidR="00F509FC" w:rsidRPr="009602EF" w:rsidRDefault="00F509FC" w:rsidP="002B0400">
            <w:pPr>
              <w:pStyle w:val="NormalWeb"/>
              <w:spacing w:before="0" w:beforeAutospacing="0" w:after="0" w:afterAutospacing="0"/>
              <w:jc w:val="center"/>
              <w:rPr>
                <w:rFonts w:ascii="Aptos" w:hAnsi="Aptos" w:cstheme="minorHAnsi"/>
                <w:color w:val="333333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</w:rPr>
              <w:t>Group Productivity Incentive Program</w:t>
            </w:r>
          </w:p>
          <w:p w14:paraId="6A769097" w14:textId="77777777" w:rsidR="00F509FC" w:rsidRPr="009602EF" w:rsidRDefault="00F509FC" w:rsidP="002B0400">
            <w:pPr>
              <w:pStyle w:val="NormalWeb"/>
              <w:spacing w:before="0" w:beforeAutospacing="0" w:after="150" w:afterAutospacing="0"/>
              <w:jc w:val="center"/>
              <w:rPr>
                <w:rFonts w:ascii="Aptos" w:hAnsi="Aptos" w:cstheme="minorHAnsi"/>
                <w:color w:val="333333"/>
              </w:rPr>
            </w:pPr>
            <w:r w:rsidRPr="009602EF">
              <w:rPr>
                <w:rFonts w:ascii="Aptos" w:hAnsi="Aptos" w:cstheme="minorHAnsi"/>
                <w:color w:val="333333"/>
              </w:rPr>
              <w:t>Form - Higher Education Agencies</w:t>
            </w:r>
          </w:p>
          <w:p w14:paraId="6195CF1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0185- SCEIS Agencies</w:t>
            </w:r>
          </w:p>
        </w:tc>
        <w:tc>
          <w:tcPr>
            <w:tcW w:w="4798" w:type="dxa"/>
            <w:vAlign w:val="center"/>
          </w:tcPr>
          <w:p w14:paraId="4B3778B5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S.C. Code Section 8-1-170</w:t>
            </w:r>
          </w:p>
        </w:tc>
        <w:tc>
          <w:tcPr>
            <w:tcW w:w="4799" w:type="dxa"/>
            <w:vAlign w:val="center"/>
          </w:tcPr>
          <w:p w14:paraId="2A1E842F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calendar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Aug. 31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5AF22BA1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767E0AC9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Critical Employee Recruitment and Retention</w:t>
            </w:r>
          </w:p>
          <w:p w14:paraId="5C70BF6C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6C6C7C8E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000000" w:themeColor="text1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Form - </w:t>
            </w:r>
            <w:hyperlink r:id="rId16" w:history="1">
              <w:r w:rsidRPr="009602EF">
                <w:rPr>
                  <w:rStyle w:val="Hyperlink"/>
                  <w:rFonts w:ascii="Aptos" w:hAnsi="Aptos" w:cstheme="minorHAnsi"/>
                  <w:color w:val="000000" w:themeColor="text1"/>
                  <w:sz w:val="24"/>
                </w:rPr>
                <w:t>Higher Education Agencies</w:t>
              </w:r>
            </w:hyperlink>
          </w:p>
          <w:p w14:paraId="18F34A20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486F6EE3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 for Bonus Information</w:t>
            </w:r>
          </w:p>
          <w:p w14:paraId="75FDDC51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lastRenderedPageBreak/>
              <w:t>Report Leave for Class, Loan Repayment, Paid Practicum and Tuition Assistance Separately</w:t>
            </w:r>
          </w:p>
        </w:tc>
        <w:tc>
          <w:tcPr>
            <w:tcW w:w="4798" w:type="dxa"/>
            <w:vAlign w:val="center"/>
          </w:tcPr>
          <w:p w14:paraId="26FA182C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lastRenderedPageBreak/>
              <w:t>Section 117.62 of the 2025-2026 Appropriations Act (Critical Employee Recruitment and Retention)</w:t>
            </w:r>
          </w:p>
          <w:p w14:paraId="637E167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7731B6B0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Act allows state agencies to spend state, federal and other sources of revenue to 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lastRenderedPageBreak/>
              <w:t>provide lump sum bonuses to aid in recruiting and retaining workers in critical needs jobs which provide services that directly impact the health, safety and welfare of the public.</w:t>
            </w:r>
          </w:p>
          <w:p w14:paraId="493A72C0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</w:tc>
        <w:tc>
          <w:tcPr>
            <w:tcW w:w="4799" w:type="dxa"/>
            <w:vAlign w:val="center"/>
          </w:tcPr>
          <w:p w14:paraId="6251107B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lastRenderedPageBreak/>
              <w:t xml:space="preserve">Report by </w:t>
            </w:r>
            <w:r w:rsidRPr="009602EF">
              <w:rPr>
                <w:rFonts w:ascii="Aptos" w:hAnsi="Aptos" w:cstheme="minorHAnsi"/>
                <w:b/>
                <w:color w:val="333333"/>
                <w:sz w:val="24"/>
              </w:rPr>
              <w:t>Aug. 31</w:t>
            </w:r>
            <w:r w:rsidRPr="009602EF">
              <w:rPr>
                <w:rFonts w:ascii="Aptos" w:hAnsi="Aptos" w:cstheme="minorHAnsi"/>
                <w:bCs/>
                <w:color w:val="333333"/>
                <w:sz w:val="24"/>
              </w:rPr>
              <w:t>.</w:t>
            </w:r>
          </w:p>
        </w:tc>
      </w:tr>
      <w:tr w:rsidR="00F509FC" w:rsidRPr="009A13F3" w14:paraId="286FB634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17809D60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Organizational Charts</w:t>
            </w:r>
          </w:p>
          <w:p w14:paraId="3C223634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Higher Education Agencies only send link to Org Chart or electronic copy</w:t>
            </w:r>
          </w:p>
        </w:tc>
        <w:tc>
          <w:tcPr>
            <w:tcW w:w="4798" w:type="dxa"/>
            <w:vAlign w:val="center"/>
          </w:tcPr>
          <w:p w14:paraId="078649E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Section 117.45 of the 2025-2026 Appropriations Act (Organizational Charts) and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S.C. Code Section 1-1-970</w:t>
            </w:r>
          </w:p>
        </w:tc>
        <w:tc>
          <w:tcPr>
            <w:tcW w:w="4799" w:type="dxa"/>
            <w:vAlign w:val="center"/>
          </w:tcPr>
          <w:p w14:paraId="45CEC531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Submit updated organizational charts on an annual basis no later than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Sept. 1 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of the current fiscal year. </w:t>
            </w:r>
          </w:p>
        </w:tc>
      </w:tr>
      <w:tr w:rsidR="00F509FC" w:rsidRPr="009A13F3" w14:paraId="57D9B973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60ADB4B7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hyperlink r:id="rId17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Fair Market Rental Value of Residences</w:t>
              </w:r>
            </w:hyperlink>
          </w:p>
          <w:p w14:paraId="02FAC9CB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Spreadsheet - Higher Education Agencies</w:t>
            </w:r>
          </w:p>
          <w:p w14:paraId="6A1C2724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</w:p>
          <w:p w14:paraId="55168B56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  <w:proofErr w:type="spellStart"/>
            <w:r w:rsidRPr="009602EF">
              <w:rPr>
                <w:rFonts w:ascii="Aptos" w:hAnsi="Aptos" w:cstheme="minorHAnsi"/>
                <w:color w:val="333333"/>
                <w:sz w:val="24"/>
              </w:rPr>
              <w:t>Infotype</w:t>
            </w:r>
            <w:proofErr w:type="spellEnd"/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0185 - SCEIS Agencies</w:t>
            </w:r>
          </w:p>
        </w:tc>
        <w:tc>
          <w:tcPr>
            <w:tcW w:w="4798" w:type="dxa"/>
            <w:vAlign w:val="center"/>
          </w:tcPr>
          <w:p w14:paraId="5CEC4B5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Section 117.15 of the 2025-2026 Appropriations Act</w:t>
            </w:r>
          </w:p>
          <w:p w14:paraId="701428EA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(Allowance for Residences and Compensation Restrictions)</w:t>
            </w:r>
          </w:p>
        </w:tc>
        <w:tc>
          <w:tcPr>
            <w:tcW w:w="4799" w:type="dxa"/>
            <w:vAlign w:val="center"/>
          </w:tcPr>
          <w:p w14:paraId="50729C0F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Oct. 1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  <w:tr w:rsidR="00F509FC" w:rsidRPr="009A13F3" w14:paraId="6E0278A0" w14:textId="77777777" w:rsidTr="002B0400">
        <w:trPr>
          <w:trHeight w:val="1350"/>
        </w:trPr>
        <w:tc>
          <w:tcPr>
            <w:tcW w:w="4798" w:type="dxa"/>
            <w:vAlign w:val="center"/>
          </w:tcPr>
          <w:p w14:paraId="56AC4DFD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000000" w:themeColor="text1"/>
                <w:sz w:val="24"/>
              </w:rPr>
            </w:pPr>
            <w:hyperlink r:id="rId18" w:history="1">
              <w:r w:rsidRPr="009602EF">
                <w:rPr>
                  <w:rStyle w:val="Strong"/>
                  <w:rFonts w:ascii="Aptos" w:hAnsi="Aptos" w:cstheme="minorHAnsi"/>
                  <w:color w:val="000000" w:themeColor="text1"/>
                  <w:sz w:val="24"/>
                </w:rPr>
                <w:t>Leave Transfer Pool Program</w:t>
              </w:r>
            </w:hyperlink>
            <w:r w:rsidRPr="009602EF">
              <w:rPr>
                <w:rFonts w:ascii="Aptos" w:hAnsi="Aptos" w:cstheme="minorHAnsi"/>
                <w:color w:val="000000" w:themeColor="text1"/>
                <w:sz w:val="24"/>
              </w:rPr>
              <w:t xml:space="preserve"> </w:t>
            </w:r>
          </w:p>
          <w:p w14:paraId="2B38BB41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000000" w:themeColor="text1"/>
                <w:sz w:val="24"/>
              </w:rPr>
              <w:t>Form</w:t>
            </w:r>
            <w:r w:rsidRPr="009602EF">
              <w:rPr>
                <w:rFonts w:ascii="Aptos" w:hAnsi="Aptos" w:cstheme="minorHAnsi"/>
                <w:b/>
                <w:color w:val="000000" w:themeColor="text1"/>
                <w:sz w:val="24"/>
              </w:rPr>
              <w:t> -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t xml:space="preserve"> Higher Education Agencies Only</w:t>
            </w:r>
          </w:p>
          <w:p w14:paraId="3A746602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/>
              </w:rPr>
            </w:pPr>
          </w:p>
        </w:tc>
        <w:tc>
          <w:tcPr>
            <w:tcW w:w="4798" w:type="dxa"/>
            <w:vAlign w:val="center"/>
          </w:tcPr>
          <w:p w14:paraId="1E7A39D0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S.C. Code Section 8-11-770</w:t>
            </w:r>
            <w:r w:rsidRPr="009602EF">
              <w:rPr>
                <w:rFonts w:ascii="Aptos" w:hAnsi="Aptos" w:cstheme="minorHAnsi"/>
                <w:color w:val="333333"/>
                <w:sz w:val="24"/>
              </w:rPr>
              <w:t>;</w:t>
            </w:r>
          </w:p>
          <w:p w14:paraId="5208A74B" w14:textId="77777777" w:rsidR="00F509FC" w:rsidRPr="009602EF" w:rsidRDefault="00F509FC" w:rsidP="002B0400">
            <w:pPr>
              <w:ind w:left="0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State HR Regulations 19-711.02</w:t>
            </w:r>
          </w:p>
        </w:tc>
        <w:tc>
          <w:tcPr>
            <w:tcW w:w="4799" w:type="dxa"/>
            <w:vAlign w:val="center"/>
          </w:tcPr>
          <w:p w14:paraId="3106D412" w14:textId="77777777" w:rsidR="00F509FC" w:rsidRPr="009602EF" w:rsidRDefault="00F509FC" w:rsidP="002B0400">
            <w:pPr>
              <w:ind w:left="-24"/>
              <w:jc w:val="center"/>
              <w:rPr>
                <w:rFonts w:ascii="Aptos" w:hAnsi="Aptos" w:cstheme="minorHAnsi"/>
                <w:color w:val="333333"/>
                <w:sz w:val="24"/>
              </w:rPr>
            </w:pPr>
            <w:r w:rsidRPr="009602EF">
              <w:rPr>
                <w:rFonts w:ascii="Aptos" w:hAnsi="Aptos" w:cstheme="minorHAnsi"/>
                <w:color w:val="333333"/>
                <w:sz w:val="24"/>
              </w:rPr>
              <w:t>Report the preceding calendar year by </w:t>
            </w:r>
            <w:r w:rsidRPr="009602EF">
              <w:rPr>
                <w:rStyle w:val="Strong"/>
                <w:rFonts w:ascii="Aptos" w:hAnsi="Aptos" w:cstheme="minorHAnsi"/>
                <w:color w:val="333333"/>
                <w:sz w:val="24"/>
              </w:rPr>
              <w:t>March 1</w:t>
            </w:r>
            <w:r w:rsidRPr="009602EF">
              <w:rPr>
                <w:rStyle w:val="Strong"/>
                <w:rFonts w:ascii="Aptos" w:hAnsi="Aptos" w:cstheme="minorHAnsi"/>
                <w:b w:val="0"/>
                <w:bCs w:val="0"/>
                <w:color w:val="333333"/>
                <w:sz w:val="24"/>
              </w:rPr>
              <w:t>.</w:t>
            </w:r>
          </w:p>
        </w:tc>
      </w:tr>
    </w:tbl>
    <w:p w14:paraId="6FDA73E7" w14:textId="77777777" w:rsidR="00F509FC" w:rsidRDefault="00F509FC" w:rsidP="00F509FC">
      <w:pPr>
        <w:ind w:left="0"/>
      </w:pPr>
    </w:p>
    <w:p w14:paraId="0A835400" w14:textId="77777777" w:rsidR="007C27B7" w:rsidRDefault="007C27B7"/>
    <w:sectPr w:rsidR="007C27B7" w:rsidSect="00F509FC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C208" w14:textId="77777777" w:rsidR="00F509FC" w:rsidRDefault="00F509FC" w:rsidP="00F509FC">
      <w:r>
        <w:separator/>
      </w:r>
    </w:p>
  </w:endnote>
  <w:endnote w:type="continuationSeparator" w:id="0">
    <w:p w14:paraId="37A0B027" w14:textId="77777777" w:rsidR="00F509FC" w:rsidRDefault="00F509FC" w:rsidP="00F5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3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530D1" w14:textId="77777777" w:rsidR="00F509FC" w:rsidRPr="00F509FC" w:rsidRDefault="00F509FC" w:rsidP="00F509FC">
        <w:pPr>
          <w:pStyle w:val="Footer"/>
          <w:jc w:val="right"/>
          <w:rPr>
            <w:rFonts w:ascii="Aptos" w:hAnsi="Aptos"/>
            <w:sz w:val="20"/>
            <w:szCs w:val="20"/>
          </w:rPr>
        </w:pPr>
        <w:r w:rsidRPr="00F509FC">
          <w:rPr>
            <w:rFonts w:ascii="Aptos" w:hAnsi="Aptos"/>
            <w:sz w:val="20"/>
            <w:szCs w:val="20"/>
          </w:rPr>
          <w:t>Updated June 2025</w:t>
        </w:r>
      </w:p>
      <w:p w14:paraId="20BE410D" w14:textId="5B478A10" w:rsidR="00F509FC" w:rsidRDefault="00F509FC" w:rsidP="00F509FC">
        <w:pPr>
          <w:pStyle w:val="Footer"/>
          <w:jc w:val="right"/>
        </w:pPr>
        <w:r w:rsidRPr="00F509FC">
          <w:rPr>
            <w:rFonts w:ascii="Aptos" w:hAnsi="Aptos"/>
            <w:sz w:val="20"/>
            <w:szCs w:val="20"/>
          </w:rPr>
          <w:fldChar w:fldCharType="begin"/>
        </w:r>
        <w:r w:rsidRPr="00F509FC">
          <w:rPr>
            <w:rFonts w:ascii="Aptos" w:hAnsi="Aptos"/>
            <w:sz w:val="20"/>
            <w:szCs w:val="20"/>
          </w:rPr>
          <w:instrText xml:space="preserve"> PAGE   \* MERGEFORMAT </w:instrText>
        </w:r>
        <w:r w:rsidRPr="00F509FC">
          <w:rPr>
            <w:rFonts w:ascii="Aptos" w:hAnsi="Aptos"/>
            <w:sz w:val="20"/>
            <w:szCs w:val="20"/>
          </w:rPr>
          <w:fldChar w:fldCharType="separate"/>
        </w:r>
        <w:r w:rsidRPr="00F509FC">
          <w:rPr>
            <w:rFonts w:ascii="Aptos" w:hAnsi="Aptos"/>
            <w:noProof/>
            <w:sz w:val="20"/>
            <w:szCs w:val="20"/>
          </w:rPr>
          <w:t>2</w:t>
        </w:r>
        <w:r w:rsidRPr="00F509FC">
          <w:rPr>
            <w:rFonts w:ascii="Aptos" w:hAnsi="Aptos"/>
            <w:noProof/>
            <w:sz w:val="20"/>
            <w:szCs w:val="20"/>
          </w:rPr>
          <w:fldChar w:fldCharType="end"/>
        </w:r>
      </w:p>
    </w:sdtContent>
  </w:sdt>
  <w:p w14:paraId="187FD435" w14:textId="77777777" w:rsidR="00F509FC" w:rsidRDefault="00F5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0F4F" w14:textId="77777777" w:rsidR="00F509FC" w:rsidRDefault="00F509FC" w:rsidP="00F509FC">
      <w:r>
        <w:separator/>
      </w:r>
    </w:p>
  </w:footnote>
  <w:footnote w:type="continuationSeparator" w:id="0">
    <w:p w14:paraId="79568F1E" w14:textId="77777777" w:rsidR="00F509FC" w:rsidRDefault="00F509FC" w:rsidP="00F5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4B98" w14:textId="7D20BA4F" w:rsidR="00F509FC" w:rsidRPr="00F509FC" w:rsidRDefault="00F509FC" w:rsidP="00F509FC">
    <w:pPr>
      <w:pStyle w:val="Header"/>
      <w:jc w:val="center"/>
      <w:rPr>
        <w:rFonts w:ascii="Aptos" w:hAnsi="Aptos"/>
        <w:b/>
        <w:bCs/>
        <w:sz w:val="28"/>
        <w:szCs w:val="28"/>
      </w:rPr>
    </w:pPr>
    <w:r w:rsidRPr="00F509FC">
      <w:rPr>
        <w:rFonts w:ascii="Aptos" w:hAnsi="Aptos"/>
        <w:b/>
        <w:bCs/>
        <w:sz w:val="28"/>
        <w:szCs w:val="28"/>
      </w:rPr>
      <w:t>Schedule for Reporting Information Required by Legislation by Fiscal Year</w:t>
    </w:r>
  </w:p>
  <w:p w14:paraId="43976CB3" w14:textId="77777777" w:rsidR="00F509FC" w:rsidRDefault="00F50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FC"/>
    <w:rsid w:val="00520CDE"/>
    <w:rsid w:val="007C27B7"/>
    <w:rsid w:val="009602EF"/>
    <w:rsid w:val="00F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67D3"/>
  <w15:chartTrackingRefBased/>
  <w15:docId w15:val="{2FB2309C-2E64-4224-BFF9-AB2DEADC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FC"/>
    <w:pPr>
      <w:widowControl w:val="0"/>
      <w:suppressAutoHyphens/>
      <w:spacing w:after="0" w:line="240" w:lineRule="auto"/>
      <w:ind w:left="720"/>
      <w:jc w:val="both"/>
    </w:pPr>
    <w:rPr>
      <w:rFonts w:ascii="Arial" w:eastAsia="Arial Unicode MS" w:hAnsi="Arial" w:cs="Arial Unicode MS"/>
      <w:color w:val="404040" w:themeColor="text1" w:themeTint="BF"/>
      <w:kern w:val="1"/>
      <w:sz w:val="20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9FC"/>
    <w:pPr>
      <w:keepNext/>
      <w:keepLines/>
      <w:widowControl/>
      <w:suppressAutoHyphens w:val="0"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9FC"/>
    <w:pPr>
      <w:keepNext/>
      <w:keepLines/>
      <w:widowControl/>
      <w:suppressAutoHyphens w:val="0"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9FC"/>
    <w:pPr>
      <w:keepNext/>
      <w:keepLines/>
      <w:widowControl/>
      <w:suppressAutoHyphens w:val="0"/>
      <w:spacing w:before="160" w:after="80" w:line="259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09FC"/>
    <w:pPr>
      <w:keepNext/>
      <w:keepLines/>
      <w:widowControl/>
      <w:suppressAutoHyphens w:val="0"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9FC"/>
    <w:pPr>
      <w:keepNext/>
      <w:keepLines/>
      <w:widowControl/>
      <w:suppressAutoHyphens w:val="0"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9FC"/>
    <w:pPr>
      <w:keepNext/>
      <w:keepLines/>
      <w:widowControl/>
      <w:suppressAutoHyphens w:val="0"/>
      <w:spacing w:before="4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9FC"/>
    <w:pPr>
      <w:keepNext/>
      <w:keepLines/>
      <w:widowControl/>
      <w:suppressAutoHyphens w:val="0"/>
      <w:spacing w:before="40" w:line="259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9FC"/>
    <w:pPr>
      <w:keepNext/>
      <w:keepLines/>
      <w:widowControl/>
      <w:suppressAutoHyphens w:val="0"/>
      <w:spacing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9FC"/>
    <w:pPr>
      <w:keepNext/>
      <w:keepLines/>
      <w:widowControl/>
      <w:suppressAutoHyphens w:val="0"/>
      <w:spacing w:line="259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09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9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9FC"/>
    <w:pPr>
      <w:widowControl/>
      <w:suppressAutoHyphens w:val="0"/>
      <w:spacing w:after="80"/>
      <w:ind w:lef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F5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9FC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5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9FC"/>
    <w:pPr>
      <w:widowControl/>
      <w:suppressAutoHyphens w:val="0"/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F50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9FC"/>
    <w:pPr>
      <w:widowControl/>
      <w:suppressAutoHyphens w:val="0"/>
      <w:spacing w:after="160" w:line="259" w:lineRule="auto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styleId="IntenseEmphasis">
    <w:name w:val="Intense Emphasis"/>
    <w:basedOn w:val="DefaultParagraphFont"/>
    <w:uiPriority w:val="21"/>
    <w:qFormat/>
    <w:rsid w:val="00F50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9F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9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9F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09FC"/>
    <w:pPr>
      <w:widowControl/>
      <w:tabs>
        <w:tab w:val="center" w:pos="4680"/>
        <w:tab w:val="right" w:pos="9360"/>
      </w:tabs>
      <w:suppressAutoHyphens w:val="0"/>
      <w:ind w:left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509FC"/>
  </w:style>
  <w:style w:type="paragraph" w:styleId="Footer">
    <w:name w:val="footer"/>
    <w:basedOn w:val="Normal"/>
    <w:link w:val="FooterChar"/>
    <w:uiPriority w:val="99"/>
    <w:unhideWhenUsed/>
    <w:rsid w:val="00F509FC"/>
    <w:pPr>
      <w:widowControl/>
      <w:tabs>
        <w:tab w:val="center" w:pos="4680"/>
        <w:tab w:val="right" w:pos="9360"/>
      </w:tabs>
      <w:suppressAutoHyphens w:val="0"/>
      <w:ind w:left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509FC"/>
  </w:style>
  <w:style w:type="character" w:styleId="Hyperlink">
    <w:name w:val="Hyperlink"/>
    <w:rsid w:val="00F509FC"/>
    <w:rPr>
      <w:color w:val="000080"/>
      <w:u w:val="single"/>
    </w:rPr>
  </w:style>
  <w:style w:type="table" w:styleId="TableGrid">
    <w:name w:val="Table Grid"/>
    <w:basedOn w:val="TableNormal"/>
    <w:uiPriority w:val="59"/>
    <w:rsid w:val="00F5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09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09FC"/>
    <w:pPr>
      <w:widowControl/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5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sc.gov/files/VSP%20Reporting%20Form.xls" TargetMode="External"/><Relationship Id="rId13" Type="http://schemas.openxmlformats.org/officeDocument/2006/relationships/hyperlink" Target="https://admin.sc.gov/files/SWM-004B.xls" TargetMode="External"/><Relationship Id="rId18" Type="http://schemas.openxmlformats.org/officeDocument/2006/relationships/hyperlink" Target="https://admin.sc.gov/files/LEAVE%20TRANSFER%20POOL%20ANNUAL%20REPORT%20FORM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dmin.sc.gov/files/VSP%20Cost%20Estimate%20Report.xls" TargetMode="External"/><Relationship Id="rId12" Type="http://schemas.openxmlformats.org/officeDocument/2006/relationships/hyperlink" Target="https://admin.sc.gov/files/SWM-004F.docx" TargetMode="External"/><Relationship Id="rId17" Type="http://schemas.openxmlformats.org/officeDocument/2006/relationships/hyperlink" Target="https://admin.sc.gov/files/Fair%20Market%20Rental%20Value%20Spreadsheet%20for%20Website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in.sc.gov/files/Critical%20Needs%20Bonus%20Worksheet%20for%20HRIS%20Agencies.xl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dmin.sc.gov/services/state-human-resources/hr-resources/reporting-record-keeping" TargetMode="External"/><Relationship Id="rId11" Type="http://schemas.openxmlformats.org/officeDocument/2006/relationships/hyperlink" Target="https://admin.sc.gov/files/SWM-004I.xl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min.sc.gov/files/Salary%20Supplement%20Spreadsheet.xls" TargetMode="External"/><Relationship Id="rId10" Type="http://schemas.openxmlformats.org/officeDocument/2006/relationships/hyperlink" Target="https://admin.sc.gov/files/RIP%20Reporting%20Form.xl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dmin.sc.gov/files/RIP%20Cost%20Estimate%20Form.xls" TargetMode="External"/><Relationship Id="rId14" Type="http://schemas.openxmlformats.org/officeDocument/2006/relationships/hyperlink" Target="https://admin.sc.gov/files/Monetary%20Awards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Brooke</dc:creator>
  <cp:keywords/>
  <dc:description/>
  <cp:lastModifiedBy>Bailey, Brooke</cp:lastModifiedBy>
  <cp:revision>2</cp:revision>
  <dcterms:created xsi:type="dcterms:W3CDTF">2025-06-20T14:23:00Z</dcterms:created>
  <dcterms:modified xsi:type="dcterms:W3CDTF">2025-06-20T14:28:00Z</dcterms:modified>
</cp:coreProperties>
</file>