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206C4" w14:textId="77777777" w:rsidR="00DC0679" w:rsidRDefault="00DC0679" w:rsidP="00BF16FF">
      <w:pPr>
        <w:ind w:left="0"/>
        <w:jc w:val="center"/>
        <w:rPr>
          <w:b/>
          <w:sz w:val="22"/>
          <w:u w:val="single"/>
        </w:rPr>
      </w:pPr>
    </w:p>
    <w:p w14:paraId="67BA5CDA" w14:textId="77777777" w:rsidR="00DC0679" w:rsidRDefault="00DC0679" w:rsidP="00BF16FF">
      <w:pPr>
        <w:ind w:left="0"/>
        <w:jc w:val="center"/>
        <w:rPr>
          <w:b/>
          <w:sz w:val="22"/>
          <w:u w:val="single"/>
        </w:rPr>
      </w:pPr>
    </w:p>
    <w:p w14:paraId="7388F441" w14:textId="77777777" w:rsidR="00DC0679" w:rsidRDefault="00DC0679" w:rsidP="00BF16FF">
      <w:pPr>
        <w:ind w:left="0"/>
        <w:jc w:val="center"/>
        <w:rPr>
          <w:b/>
          <w:sz w:val="22"/>
          <w:u w:val="single"/>
        </w:rPr>
      </w:pPr>
    </w:p>
    <w:p w14:paraId="680F5261" w14:textId="77777777" w:rsidR="00DC0679" w:rsidRDefault="00DC0679" w:rsidP="00BF16FF">
      <w:pPr>
        <w:ind w:left="0"/>
        <w:jc w:val="center"/>
        <w:rPr>
          <w:b/>
          <w:sz w:val="22"/>
          <w:u w:val="single"/>
        </w:rPr>
      </w:pPr>
    </w:p>
    <w:p w14:paraId="2ED83B51" w14:textId="77777777" w:rsidR="00DC0679" w:rsidRDefault="00DC0679" w:rsidP="00BF16FF">
      <w:pPr>
        <w:ind w:left="0"/>
        <w:jc w:val="center"/>
        <w:rPr>
          <w:b/>
          <w:sz w:val="22"/>
          <w:u w:val="single"/>
        </w:rPr>
      </w:pPr>
    </w:p>
    <w:p w14:paraId="3868515E" w14:textId="77777777" w:rsidR="00DC0679" w:rsidRDefault="00DC0679" w:rsidP="00BF16FF">
      <w:pPr>
        <w:ind w:left="0"/>
        <w:jc w:val="center"/>
        <w:rPr>
          <w:b/>
          <w:sz w:val="22"/>
          <w:u w:val="single"/>
        </w:rPr>
      </w:pPr>
    </w:p>
    <w:p w14:paraId="15064CCE" w14:textId="77777777" w:rsidR="00BF16FF" w:rsidRPr="00E2544C" w:rsidRDefault="00BF16FF" w:rsidP="00BF16FF">
      <w:pPr>
        <w:ind w:left="0"/>
        <w:jc w:val="center"/>
        <w:rPr>
          <w:b/>
          <w:sz w:val="22"/>
        </w:rPr>
      </w:pPr>
      <w:r w:rsidRPr="00E2544C">
        <w:rPr>
          <w:b/>
          <w:sz w:val="22"/>
        </w:rPr>
        <w:t>Personnel Settlement Approval Checklist</w:t>
      </w:r>
    </w:p>
    <w:p w14:paraId="2DBD4385" w14:textId="77777777" w:rsidR="00BF16FF" w:rsidRDefault="00BF16FF" w:rsidP="00DF79CE">
      <w:pPr>
        <w:ind w:left="0"/>
        <w:rPr>
          <w:sz w:val="22"/>
        </w:rPr>
      </w:pPr>
    </w:p>
    <w:p w14:paraId="50D40022" w14:textId="7DF67A30" w:rsidR="00BF16FF" w:rsidRPr="00036E9C" w:rsidRDefault="00BF16FF" w:rsidP="00BF16FF">
      <w:pPr>
        <w:ind w:left="0"/>
        <w:rPr>
          <w:sz w:val="22"/>
        </w:rPr>
      </w:pPr>
      <w:r w:rsidRPr="00036E9C">
        <w:rPr>
          <w:sz w:val="22"/>
        </w:rPr>
        <w:t>In some circumstances a personnel settlement between an agency and employee or former employee must be approved by the State Human Resources Director or the State Fiscal Accountability Authority. To determine if a settlement will require approval</w:t>
      </w:r>
      <w:r w:rsidR="005116CA">
        <w:rPr>
          <w:sz w:val="22"/>
        </w:rPr>
        <w:t>,</w:t>
      </w:r>
      <w:r w:rsidRPr="00036E9C">
        <w:rPr>
          <w:sz w:val="22"/>
        </w:rPr>
        <w:t xml:space="preserve"> please contact the Division of State Human Resources Alternative Dispute Resolution Program. To ensure there are no delays in receiving approval, agencies are urged to contact the Alternative Dispute Resolution Program prior to finalizing an agreement.</w:t>
      </w:r>
    </w:p>
    <w:p w14:paraId="701608BE" w14:textId="77777777" w:rsidR="00BF16FF" w:rsidRDefault="00BF16FF" w:rsidP="00BF16FF">
      <w:pPr>
        <w:ind w:left="0"/>
        <w:rPr>
          <w:sz w:val="22"/>
        </w:rPr>
      </w:pPr>
    </w:p>
    <w:p w14:paraId="185A4C8C" w14:textId="77777777" w:rsidR="00BF16FF" w:rsidRDefault="00BF16FF" w:rsidP="00BF16FF">
      <w:pPr>
        <w:ind w:left="0"/>
        <w:rPr>
          <w:sz w:val="22"/>
        </w:rPr>
      </w:pPr>
      <w:r w:rsidRPr="00BF16FF">
        <w:rPr>
          <w:sz w:val="22"/>
        </w:rPr>
        <w:t>In order to facilitate approval of Personnel Settlements as required by Section 19-718.11 of the</w:t>
      </w:r>
      <w:r>
        <w:rPr>
          <w:sz w:val="22"/>
        </w:rPr>
        <w:t xml:space="preserve"> </w:t>
      </w:r>
      <w:r w:rsidRPr="00BF16FF">
        <w:rPr>
          <w:sz w:val="22"/>
        </w:rPr>
        <w:t>State Human Resources Regulations, agencies are to include the following information in the</w:t>
      </w:r>
      <w:r>
        <w:rPr>
          <w:sz w:val="22"/>
        </w:rPr>
        <w:t xml:space="preserve"> </w:t>
      </w:r>
      <w:r w:rsidRPr="00BF16FF">
        <w:rPr>
          <w:sz w:val="22"/>
        </w:rPr>
        <w:t xml:space="preserve">letter requesting approval and the agreement. </w:t>
      </w:r>
    </w:p>
    <w:p w14:paraId="5B376382" w14:textId="77777777" w:rsidR="00BF16FF" w:rsidRDefault="00BF16FF" w:rsidP="00BF16FF">
      <w:pPr>
        <w:ind w:left="0"/>
        <w:rPr>
          <w:sz w:val="22"/>
        </w:rPr>
      </w:pPr>
    </w:p>
    <w:p w14:paraId="76F16B75" w14:textId="0FE196F5" w:rsidR="00BF16FF" w:rsidRDefault="00BF16FF" w:rsidP="00BF16FF">
      <w:pPr>
        <w:ind w:left="0"/>
        <w:rPr>
          <w:sz w:val="22"/>
        </w:rPr>
      </w:pPr>
      <w:r w:rsidRPr="00BF16FF">
        <w:rPr>
          <w:sz w:val="22"/>
        </w:rPr>
        <w:t>Agencies are strongly encouraged to submit</w:t>
      </w:r>
      <w:r>
        <w:rPr>
          <w:sz w:val="22"/>
        </w:rPr>
        <w:t xml:space="preserve"> p</w:t>
      </w:r>
      <w:r w:rsidRPr="00BF16FF">
        <w:rPr>
          <w:sz w:val="22"/>
        </w:rPr>
        <w:t>roposed agreements to the Division of State Hu</w:t>
      </w:r>
      <w:r>
        <w:rPr>
          <w:sz w:val="22"/>
        </w:rPr>
        <w:t>m</w:t>
      </w:r>
      <w:r w:rsidRPr="00BF16FF">
        <w:rPr>
          <w:sz w:val="22"/>
        </w:rPr>
        <w:t>an Resources Alternative Dispute Resolution</w:t>
      </w:r>
      <w:r>
        <w:rPr>
          <w:sz w:val="22"/>
        </w:rPr>
        <w:t xml:space="preserve"> </w:t>
      </w:r>
      <w:r w:rsidRPr="00BF16FF">
        <w:rPr>
          <w:sz w:val="22"/>
        </w:rPr>
        <w:t xml:space="preserve">Program for review </w:t>
      </w:r>
      <w:r w:rsidR="00E2544C">
        <w:rPr>
          <w:sz w:val="22"/>
        </w:rPr>
        <w:t>before</w:t>
      </w:r>
      <w:r w:rsidRPr="00BF16FF">
        <w:rPr>
          <w:sz w:val="22"/>
        </w:rPr>
        <w:t xml:space="preserve"> to obtaining signatures.</w:t>
      </w:r>
    </w:p>
    <w:p w14:paraId="26B463A9" w14:textId="77777777" w:rsidR="00BF16FF" w:rsidRDefault="00BF16FF" w:rsidP="00BF16FF">
      <w:pPr>
        <w:ind w:left="0"/>
        <w:rPr>
          <w:sz w:val="22"/>
        </w:rPr>
      </w:pPr>
    </w:p>
    <w:p w14:paraId="7160237B" w14:textId="77777777" w:rsidR="00BF16FF" w:rsidRDefault="00BF16FF" w:rsidP="00BF16FF">
      <w:pPr>
        <w:ind w:left="0"/>
        <w:rPr>
          <w:sz w:val="22"/>
        </w:rPr>
      </w:pPr>
      <w:r w:rsidRPr="00BF16FF">
        <w:rPr>
          <w:sz w:val="22"/>
        </w:rPr>
        <w:t>Agencies seeking approval of a personnel settlement should provide the</w:t>
      </w:r>
      <w:r>
        <w:rPr>
          <w:sz w:val="22"/>
        </w:rPr>
        <w:t xml:space="preserve"> </w:t>
      </w:r>
      <w:r w:rsidRPr="00BF16FF">
        <w:rPr>
          <w:sz w:val="22"/>
        </w:rPr>
        <w:t>following:</w:t>
      </w:r>
    </w:p>
    <w:p w14:paraId="103E24C4" w14:textId="77777777" w:rsidR="00BF16FF" w:rsidRPr="00BF16FF" w:rsidRDefault="00BF16FF" w:rsidP="00BF16FF">
      <w:pPr>
        <w:ind w:left="0"/>
        <w:rPr>
          <w:sz w:val="22"/>
        </w:rPr>
      </w:pPr>
    </w:p>
    <w:p w14:paraId="3B152914" w14:textId="77777777" w:rsidR="00BF16FF" w:rsidRDefault="00BF16FF" w:rsidP="00BF16FF">
      <w:pPr>
        <w:pStyle w:val="ListParagraph"/>
        <w:numPr>
          <w:ilvl w:val="0"/>
          <w:numId w:val="6"/>
        </w:numPr>
        <w:rPr>
          <w:b/>
          <w:sz w:val="22"/>
        </w:rPr>
      </w:pPr>
      <w:r w:rsidRPr="00BF16FF">
        <w:rPr>
          <w:b/>
          <w:sz w:val="22"/>
        </w:rPr>
        <w:t>Letter of justification containing the following:</w:t>
      </w:r>
    </w:p>
    <w:p w14:paraId="35D5AEBF" w14:textId="77777777" w:rsidR="00BF16FF" w:rsidRPr="00BF16FF" w:rsidRDefault="00BF16FF" w:rsidP="00BF16FF">
      <w:pPr>
        <w:pStyle w:val="ListParagraph"/>
        <w:ind w:left="360"/>
        <w:rPr>
          <w:b/>
          <w:sz w:val="22"/>
        </w:rPr>
      </w:pPr>
    </w:p>
    <w:p w14:paraId="619D9DFE" w14:textId="77777777" w:rsidR="00BF16FF" w:rsidRPr="00BF16FF" w:rsidRDefault="00BF16FF" w:rsidP="00BF16FF">
      <w:pPr>
        <w:pStyle w:val="ListParagraph"/>
        <w:numPr>
          <w:ilvl w:val="0"/>
          <w:numId w:val="3"/>
        </w:numPr>
        <w:rPr>
          <w:sz w:val="22"/>
        </w:rPr>
      </w:pPr>
      <w:r w:rsidRPr="00BF16FF">
        <w:rPr>
          <w:sz w:val="22"/>
        </w:rPr>
        <w:t>Background and analysis of case</w:t>
      </w:r>
      <w:r w:rsidR="00DC0679">
        <w:rPr>
          <w:sz w:val="22"/>
        </w:rPr>
        <w:t>.</w:t>
      </w:r>
    </w:p>
    <w:p w14:paraId="76C2F37C" w14:textId="77777777" w:rsidR="00BF16FF" w:rsidRPr="00BF16FF" w:rsidRDefault="00BF16FF" w:rsidP="00BF16FF">
      <w:pPr>
        <w:pStyle w:val="ListParagraph"/>
        <w:numPr>
          <w:ilvl w:val="0"/>
          <w:numId w:val="3"/>
        </w:numPr>
        <w:rPr>
          <w:sz w:val="22"/>
        </w:rPr>
      </w:pPr>
      <w:r w:rsidRPr="00BF16FF">
        <w:rPr>
          <w:sz w:val="22"/>
        </w:rPr>
        <w:t>Liability to agency, if applicable</w:t>
      </w:r>
      <w:r w:rsidR="00DC0679">
        <w:rPr>
          <w:sz w:val="22"/>
        </w:rPr>
        <w:t>.</w:t>
      </w:r>
    </w:p>
    <w:p w14:paraId="3003D090" w14:textId="77777777" w:rsidR="00BF16FF" w:rsidRPr="00BF16FF" w:rsidRDefault="00BF16FF" w:rsidP="00BF16FF">
      <w:pPr>
        <w:pStyle w:val="ListParagraph"/>
        <w:numPr>
          <w:ilvl w:val="0"/>
          <w:numId w:val="3"/>
        </w:numPr>
        <w:rPr>
          <w:sz w:val="22"/>
        </w:rPr>
      </w:pPr>
      <w:r w:rsidRPr="00BF16FF">
        <w:rPr>
          <w:sz w:val="22"/>
        </w:rPr>
        <w:t>Cost effectiveness of settling the matter</w:t>
      </w:r>
      <w:r w:rsidR="00DC0679">
        <w:rPr>
          <w:sz w:val="22"/>
        </w:rPr>
        <w:t>.</w:t>
      </w:r>
    </w:p>
    <w:p w14:paraId="1D64E92D" w14:textId="77777777" w:rsidR="00BF16FF" w:rsidRDefault="00BF16FF" w:rsidP="00BF16FF">
      <w:pPr>
        <w:pStyle w:val="ListParagraph"/>
        <w:numPr>
          <w:ilvl w:val="0"/>
          <w:numId w:val="3"/>
        </w:numPr>
        <w:rPr>
          <w:sz w:val="22"/>
        </w:rPr>
      </w:pPr>
      <w:r w:rsidRPr="00BF16FF">
        <w:rPr>
          <w:sz w:val="22"/>
        </w:rPr>
        <w:t>Benefits and interests of settling the matter</w:t>
      </w:r>
      <w:r w:rsidR="00DC0679">
        <w:rPr>
          <w:sz w:val="22"/>
        </w:rPr>
        <w:t>.</w:t>
      </w:r>
    </w:p>
    <w:p w14:paraId="4352140D" w14:textId="77777777" w:rsidR="00BF16FF" w:rsidRDefault="00BF16FF" w:rsidP="00BF16FF">
      <w:pPr>
        <w:ind w:left="0"/>
        <w:rPr>
          <w:rFonts w:cs="Mangal"/>
          <w:sz w:val="22"/>
        </w:rPr>
      </w:pPr>
    </w:p>
    <w:p w14:paraId="3ED8131C" w14:textId="77777777" w:rsidR="00BF16FF" w:rsidRPr="00BF16FF" w:rsidRDefault="00BF16FF" w:rsidP="00BF16FF">
      <w:pPr>
        <w:pStyle w:val="ListParagraph"/>
        <w:numPr>
          <w:ilvl w:val="0"/>
          <w:numId w:val="6"/>
        </w:numPr>
        <w:rPr>
          <w:b/>
          <w:sz w:val="22"/>
        </w:rPr>
      </w:pPr>
      <w:r w:rsidRPr="00BF16FF">
        <w:rPr>
          <w:b/>
          <w:sz w:val="22"/>
        </w:rPr>
        <w:t>Settlement agreement containing the following clauses:</w:t>
      </w:r>
    </w:p>
    <w:p w14:paraId="0261F197" w14:textId="77777777" w:rsidR="00BF16FF" w:rsidRPr="00DC0679" w:rsidRDefault="00BF16FF" w:rsidP="00DC0679">
      <w:pPr>
        <w:pStyle w:val="ListParagraph"/>
        <w:numPr>
          <w:ilvl w:val="0"/>
          <w:numId w:val="7"/>
        </w:numPr>
        <w:rPr>
          <w:sz w:val="22"/>
        </w:rPr>
      </w:pPr>
      <w:r w:rsidRPr="00DC0679">
        <w:rPr>
          <w:sz w:val="22"/>
        </w:rPr>
        <w:t>No admission of liability by either party, if applicable</w:t>
      </w:r>
      <w:r w:rsidR="00DC0679">
        <w:rPr>
          <w:sz w:val="22"/>
        </w:rPr>
        <w:t>.</w:t>
      </w:r>
    </w:p>
    <w:p w14:paraId="027DEE39" w14:textId="4DCC8F20" w:rsidR="00BF16FF" w:rsidRPr="00DC0679" w:rsidRDefault="00BF16FF" w:rsidP="00075078">
      <w:pPr>
        <w:pStyle w:val="ListParagraph"/>
        <w:numPr>
          <w:ilvl w:val="0"/>
          <w:numId w:val="7"/>
        </w:numPr>
        <w:rPr>
          <w:sz w:val="22"/>
        </w:rPr>
      </w:pPr>
      <w:r w:rsidRPr="00DC0679">
        <w:rPr>
          <w:sz w:val="22"/>
        </w:rPr>
        <w:t>Releases agency from any other claims related to the matter at hand (must note</w:t>
      </w:r>
      <w:r w:rsidR="00DC0679" w:rsidRPr="00DC0679">
        <w:rPr>
          <w:sz w:val="22"/>
        </w:rPr>
        <w:t xml:space="preserve"> </w:t>
      </w:r>
      <w:r w:rsidRPr="00DC0679">
        <w:rPr>
          <w:sz w:val="22"/>
        </w:rPr>
        <w:t>exceptions to release of  pending Workers' Compensation</w:t>
      </w:r>
      <w:r w:rsidR="00DC0679">
        <w:rPr>
          <w:sz w:val="22"/>
        </w:rPr>
        <w:t xml:space="preserve"> </w:t>
      </w:r>
      <w:r w:rsidRPr="00DC0679">
        <w:rPr>
          <w:sz w:val="22"/>
        </w:rPr>
        <w:t>claims)</w:t>
      </w:r>
      <w:r w:rsidR="00DC0679">
        <w:rPr>
          <w:sz w:val="22"/>
        </w:rPr>
        <w:t>.</w:t>
      </w:r>
    </w:p>
    <w:p w14:paraId="3428B54F" w14:textId="77777777" w:rsidR="00BF16FF" w:rsidRPr="00DC0679" w:rsidRDefault="00BF16FF" w:rsidP="00325D74">
      <w:pPr>
        <w:pStyle w:val="ListParagraph"/>
        <w:numPr>
          <w:ilvl w:val="0"/>
          <w:numId w:val="7"/>
        </w:numPr>
        <w:rPr>
          <w:sz w:val="22"/>
        </w:rPr>
      </w:pPr>
      <w:r w:rsidRPr="00DC0679">
        <w:rPr>
          <w:sz w:val="22"/>
        </w:rPr>
        <w:t>Terms concerning withdrawing pending action which may be administrative or</w:t>
      </w:r>
      <w:r w:rsidR="00DC0679" w:rsidRPr="00DC0679">
        <w:rPr>
          <w:sz w:val="22"/>
        </w:rPr>
        <w:t xml:space="preserve"> </w:t>
      </w:r>
      <w:r w:rsidRPr="00DC0679">
        <w:rPr>
          <w:sz w:val="22"/>
        </w:rPr>
        <w:t>judicial or both (exceptions include EEOC claims or pending Workers'</w:t>
      </w:r>
      <w:r w:rsidR="00DC0679">
        <w:rPr>
          <w:sz w:val="22"/>
        </w:rPr>
        <w:t xml:space="preserve"> </w:t>
      </w:r>
      <w:r w:rsidRPr="00DC0679">
        <w:rPr>
          <w:sz w:val="22"/>
        </w:rPr>
        <w:t>Compensation claims)</w:t>
      </w:r>
      <w:r w:rsidR="00DC0679">
        <w:rPr>
          <w:sz w:val="22"/>
        </w:rPr>
        <w:t>.</w:t>
      </w:r>
    </w:p>
    <w:p w14:paraId="18C075CF" w14:textId="77777777" w:rsidR="00BF16FF" w:rsidRPr="00DC0679" w:rsidRDefault="00BF16FF" w:rsidP="004B5C64">
      <w:pPr>
        <w:pStyle w:val="ListParagraph"/>
        <w:numPr>
          <w:ilvl w:val="0"/>
          <w:numId w:val="7"/>
        </w:numPr>
        <w:rPr>
          <w:sz w:val="22"/>
        </w:rPr>
      </w:pPr>
      <w:r w:rsidRPr="00DC0679">
        <w:rPr>
          <w:sz w:val="22"/>
        </w:rPr>
        <w:t>Amount of lump sum payment and where it will come from should be clearly</w:t>
      </w:r>
      <w:r w:rsidR="00DC0679">
        <w:rPr>
          <w:sz w:val="22"/>
        </w:rPr>
        <w:t xml:space="preserve"> </w:t>
      </w:r>
      <w:r w:rsidRPr="00DC0679">
        <w:rPr>
          <w:sz w:val="22"/>
        </w:rPr>
        <w:t>delineated</w:t>
      </w:r>
      <w:r w:rsidR="00DC0679">
        <w:rPr>
          <w:sz w:val="22"/>
        </w:rPr>
        <w:t>.</w:t>
      </w:r>
    </w:p>
    <w:p w14:paraId="2A74376E" w14:textId="77777777" w:rsidR="00BF16FF" w:rsidRPr="00DC0679" w:rsidRDefault="00BF16FF" w:rsidP="003663A4">
      <w:pPr>
        <w:pStyle w:val="ListParagraph"/>
        <w:numPr>
          <w:ilvl w:val="0"/>
          <w:numId w:val="7"/>
        </w:numPr>
        <w:rPr>
          <w:sz w:val="22"/>
        </w:rPr>
      </w:pPr>
      <w:r w:rsidRPr="00DC0679">
        <w:rPr>
          <w:sz w:val="22"/>
        </w:rPr>
        <w:t>Determination of whether lump sum amount is waged-based or non-waged</w:t>
      </w:r>
      <w:r w:rsidR="00DC0679">
        <w:rPr>
          <w:sz w:val="22"/>
        </w:rPr>
        <w:t xml:space="preserve"> </w:t>
      </w:r>
      <w:r w:rsidRPr="00DC0679">
        <w:rPr>
          <w:sz w:val="22"/>
        </w:rPr>
        <w:t>based</w:t>
      </w:r>
      <w:r w:rsidR="00DC0679">
        <w:rPr>
          <w:sz w:val="22"/>
        </w:rPr>
        <w:t>.</w:t>
      </w:r>
    </w:p>
    <w:p w14:paraId="477F3766" w14:textId="77777777" w:rsidR="00BF16FF" w:rsidRPr="00DC0679" w:rsidRDefault="00BF16FF" w:rsidP="00F047CC">
      <w:pPr>
        <w:pStyle w:val="ListParagraph"/>
        <w:numPr>
          <w:ilvl w:val="0"/>
          <w:numId w:val="7"/>
        </w:numPr>
        <w:rPr>
          <w:sz w:val="22"/>
        </w:rPr>
      </w:pPr>
      <w:r w:rsidRPr="00DC0679">
        <w:rPr>
          <w:sz w:val="22"/>
        </w:rPr>
        <w:t>In accordance with Section 19-718.11 of the State Human Resources</w:t>
      </w:r>
      <w:r w:rsidR="00DC0679">
        <w:rPr>
          <w:sz w:val="22"/>
        </w:rPr>
        <w:t xml:space="preserve"> </w:t>
      </w:r>
      <w:r w:rsidRPr="00DC0679">
        <w:rPr>
          <w:sz w:val="22"/>
        </w:rPr>
        <w:t>Regulations all personnel settlements must be approved.</w:t>
      </w:r>
    </w:p>
    <w:p w14:paraId="767D25FC" w14:textId="77777777" w:rsidR="00BF16FF" w:rsidRPr="00DC0679" w:rsidRDefault="00BF16FF" w:rsidP="00DC0679">
      <w:pPr>
        <w:pStyle w:val="ListParagraph"/>
        <w:numPr>
          <w:ilvl w:val="0"/>
          <w:numId w:val="7"/>
        </w:numPr>
        <w:rPr>
          <w:sz w:val="22"/>
        </w:rPr>
      </w:pPr>
      <w:r w:rsidRPr="00DC0679">
        <w:rPr>
          <w:sz w:val="22"/>
        </w:rPr>
        <w:t>Confidentiality language with FOIA exception, if applicable</w:t>
      </w:r>
      <w:r w:rsidR="00DC0679">
        <w:rPr>
          <w:sz w:val="22"/>
        </w:rPr>
        <w:t>.</w:t>
      </w:r>
    </w:p>
    <w:p w14:paraId="3A271DE6" w14:textId="30089963" w:rsidR="00DC0679" w:rsidRDefault="00BF16FF" w:rsidP="00DC0679">
      <w:pPr>
        <w:pStyle w:val="ListParagraph"/>
        <w:numPr>
          <w:ilvl w:val="0"/>
          <w:numId w:val="7"/>
        </w:numPr>
        <w:rPr>
          <w:sz w:val="22"/>
        </w:rPr>
      </w:pPr>
      <w:r w:rsidRPr="00DC0679">
        <w:rPr>
          <w:sz w:val="22"/>
        </w:rPr>
        <w:t>Waiver of claims under ADEA</w:t>
      </w:r>
      <w:r w:rsidR="00CC2ACC">
        <w:rPr>
          <w:sz w:val="22"/>
        </w:rPr>
        <w:t xml:space="preserve"> and</w:t>
      </w:r>
      <w:r w:rsidRPr="00DC0679">
        <w:rPr>
          <w:sz w:val="22"/>
        </w:rPr>
        <w:t xml:space="preserve"> OWBPA</w:t>
      </w:r>
      <w:r w:rsidR="00DC0679">
        <w:rPr>
          <w:sz w:val="22"/>
        </w:rPr>
        <w:t>.</w:t>
      </w:r>
    </w:p>
    <w:p w14:paraId="09B2C305" w14:textId="5C68EE3F" w:rsidR="00DC0679" w:rsidRDefault="00BF16FF" w:rsidP="00DC0679">
      <w:pPr>
        <w:pStyle w:val="ListParagraph"/>
        <w:numPr>
          <w:ilvl w:val="0"/>
          <w:numId w:val="7"/>
        </w:numPr>
        <w:rPr>
          <w:sz w:val="22"/>
        </w:rPr>
      </w:pPr>
      <w:r w:rsidRPr="00DC0679">
        <w:rPr>
          <w:sz w:val="22"/>
        </w:rPr>
        <w:t>If employee is represented by attorney, a reference to the attorney should be</w:t>
      </w:r>
      <w:r w:rsidR="00DC0679">
        <w:rPr>
          <w:sz w:val="22"/>
        </w:rPr>
        <w:t xml:space="preserve"> </w:t>
      </w:r>
      <w:r w:rsidRPr="00DC0679">
        <w:rPr>
          <w:sz w:val="22"/>
        </w:rPr>
        <w:t>made</w:t>
      </w:r>
      <w:r w:rsidR="00E2544C">
        <w:rPr>
          <w:sz w:val="22"/>
        </w:rPr>
        <w:t>.</w:t>
      </w:r>
    </w:p>
    <w:p w14:paraId="29F04EB7" w14:textId="4088DE66" w:rsidR="00DC0679" w:rsidRDefault="00BF16FF" w:rsidP="00DC0679">
      <w:pPr>
        <w:pStyle w:val="ListParagraph"/>
        <w:numPr>
          <w:ilvl w:val="0"/>
          <w:numId w:val="7"/>
        </w:numPr>
        <w:rPr>
          <w:sz w:val="22"/>
        </w:rPr>
      </w:pPr>
      <w:r w:rsidRPr="00DC0679">
        <w:rPr>
          <w:sz w:val="22"/>
        </w:rPr>
        <w:t>Voluntary execution of release clause</w:t>
      </w:r>
      <w:r w:rsidR="00E2544C">
        <w:rPr>
          <w:sz w:val="22"/>
        </w:rPr>
        <w:t>.</w:t>
      </w:r>
    </w:p>
    <w:p w14:paraId="0308894B" w14:textId="77777777" w:rsidR="00DC0679" w:rsidRDefault="00BF16FF" w:rsidP="00DC0679">
      <w:pPr>
        <w:pStyle w:val="ListParagraph"/>
        <w:numPr>
          <w:ilvl w:val="0"/>
          <w:numId w:val="7"/>
        </w:numPr>
        <w:rPr>
          <w:sz w:val="22"/>
        </w:rPr>
      </w:pPr>
      <w:r w:rsidRPr="00DC0679">
        <w:rPr>
          <w:sz w:val="22"/>
        </w:rPr>
        <w:t>Signed and dated by state agency representative, the employee, and the</w:t>
      </w:r>
      <w:r w:rsidR="00DC0679" w:rsidRPr="00DC0679">
        <w:rPr>
          <w:sz w:val="22"/>
        </w:rPr>
        <w:t xml:space="preserve"> </w:t>
      </w:r>
      <w:r w:rsidRPr="00DC0679">
        <w:rPr>
          <w:sz w:val="22"/>
        </w:rPr>
        <w:t>attorneys, if applicable.</w:t>
      </w:r>
    </w:p>
    <w:p w14:paraId="7987A84E" w14:textId="77777777" w:rsidR="00DC0679" w:rsidRDefault="00BF16FF" w:rsidP="00DC0679">
      <w:pPr>
        <w:pStyle w:val="ListParagraph"/>
        <w:numPr>
          <w:ilvl w:val="0"/>
          <w:numId w:val="7"/>
        </w:numPr>
        <w:rPr>
          <w:sz w:val="22"/>
        </w:rPr>
      </w:pPr>
      <w:r w:rsidRPr="00DC0679">
        <w:rPr>
          <w:sz w:val="22"/>
        </w:rPr>
        <w:t>Witness signatures</w:t>
      </w:r>
      <w:r w:rsidR="00DC0679">
        <w:rPr>
          <w:sz w:val="22"/>
        </w:rPr>
        <w:t>.</w:t>
      </w:r>
    </w:p>
    <w:p w14:paraId="6450C307" w14:textId="77777777" w:rsidR="00DC0679" w:rsidRDefault="00BF16FF" w:rsidP="00DC0679">
      <w:pPr>
        <w:pStyle w:val="ListParagraph"/>
        <w:numPr>
          <w:ilvl w:val="0"/>
          <w:numId w:val="7"/>
        </w:numPr>
        <w:rPr>
          <w:sz w:val="22"/>
        </w:rPr>
      </w:pPr>
      <w:r w:rsidRPr="00DC0679">
        <w:rPr>
          <w:sz w:val="22"/>
        </w:rPr>
        <w:t>Severability clause</w:t>
      </w:r>
      <w:r w:rsidR="00DC0679">
        <w:rPr>
          <w:sz w:val="22"/>
        </w:rPr>
        <w:t>.</w:t>
      </w:r>
    </w:p>
    <w:p w14:paraId="0956DCB5" w14:textId="77777777" w:rsidR="00BF16FF" w:rsidRDefault="00BF16FF" w:rsidP="00DC0679">
      <w:pPr>
        <w:pStyle w:val="ListParagraph"/>
        <w:numPr>
          <w:ilvl w:val="0"/>
          <w:numId w:val="7"/>
        </w:numPr>
        <w:rPr>
          <w:sz w:val="22"/>
        </w:rPr>
      </w:pPr>
      <w:r w:rsidRPr="00DC0679">
        <w:rPr>
          <w:sz w:val="22"/>
        </w:rPr>
        <w:t>Laws of S</w:t>
      </w:r>
      <w:r w:rsidR="00DC0679">
        <w:rPr>
          <w:sz w:val="22"/>
        </w:rPr>
        <w:t xml:space="preserve">outh </w:t>
      </w:r>
      <w:r w:rsidRPr="00DC0679">
        <w:rPr>
          <w:sz w:val="22"/>
        </w:rPr>
        <w:t>C</w:t>
      </w:r>
      <w:r w:rsidR="00DC0679">
        <w:rPr>
          <w:sz w:val="22"/>
        </w:rPr>
        <w:t>arolina</w:t>
      </w:r>
      <w:r w:rsidRPr="00DC0679">
        <w:rPr>
          <w:sz w:val="22"/>
        </w:rPr>
        <w:t xml:space="preserve"> govern clause</w:t>
      </w:r>
      <w:r w:rsidR="00DC0679">
        <w:rPr>
          <w:sz w:val="22"/>
        </w:rPr>
        <w:t>.</w:t>
      </w:r>
    </w:p>
    <w:p w14:paraId="645DB437" w14:textId="77777777" w:rsidR="006A0D4E" w:rsidRDefault="006A0D4E" w:rsidP="006A0D4E">
      <w:pPr>
        <w:ind w:left="0"/>
        <w:rPr>
          <w:sz w:val="22"/>
        </w:rPr>
      </w:pPr>
    </w:p>
    <w:p w14:paraId="79D77F1D" w14:textId="219680FE" w:rsidR="006A0D4E" w:rsidRPr="00036E9C" w:rsidRDefault="006A0D4E" w:rsidP="006A0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rPr>
          <w:i/>
          <w:szCs w:val="20"/>
        </w:rPr>
      </w:pPr>
      <w:r w:rsidRPr="00036E9C">
        <w:rPr>
          <w:i/>
          <w:szCs w:val="20"/>
        </w:rPr>
        <w:t>Agencies may engage an attorney at law</w:t>
      </w:r>
      <w:r w:rsidR="00E2544C">
        <w:rPr>
          <w:i/>
          <w:szCs w:val="20"/>
        </w:rPr>
        <w:t>,</w:t>
      </w:r>
      <w:r w:rsidRPr="00036E9C">
        <w:rPr>
          <w:i/>
          <w:szCs w:val="20"/>
        </w:rPr>
        <w:t xml:space="preserve"> on a fee basis</w:t>
      </w:r>
      <w:r w:rsidR="00E2544C">
        <w:rPr>
          <w:i/>
          <w:szCs w:val="20"/>
        </w:rPr>
        <w:t>,</w:t>
      </w:r>
      <w:r w:rsidRPr="00036E9C">
        <w:rPr>
          <w:i/>
          <w:szCs w:val="20"/>
        </w:rPr>
        <w:t xml:space="preserve"> to assist in the drafting of personnel settlements so long as the attorney is engaged in accordance with Section 1-7-170 of the South Carolina Code of Laws of 197</w:t>
      </w:r>
      <w:r w:rsidR="003C0C78">
        <w:rPr>
          <w:i/>
          <w:szCs w:val="20"/>
        </w:rPr>
        <w:t>6. A</w:t>
      </w:r>
      <w:r w:rsidRPr="00036E9C">
        <w:rPr>
          <w:i/>
          <w:szCs w:val="20"/>
        </w:rPr>
        <w:t>s amended</w:t>
      </w:r>
      <w:r w:rsidR="00E2544C">
        <w:rPr>
          <w:i/>
          <w:szCs w:val="20"/>
        </w:rPr>
        <w:t>,</w:t>
      </w:r>
      <w:r w:rsidRPr="00036E9C">
        <w:rPr>
          <w:i/>
          <w:szCs w:val="20"/>
        </w:rPr>
        <w:t xml:space="preserve"> </w:t>
      </w:r>
      <w:r w:rsidR="003C0C78">
        <w:rPr>
          <w:i/>
          <w:szCs w:val="20"/>
        </w:rPr>
        <w:t>the law</w:t>
      </w:r>
      <w:r w:rsidRPr="00036E9C">
        <w:rPr>
          <w:i/>
          <w:szCs w:val="20"/>
        </w:rPr>
        <w:t xml:space="preserve"> requires that a department or agency of state government receive approval from the Attorney General prior to engaging on a fee basis an attorney at law and that the related fee be approved by the Attorney General. </w:t>
      </w:r>
    </w:p>
    <w:p w14:paraId="5B347345" w14:textId="77777777" w:rsidR="006A0D4E" w:rsidRPr="006A0D4E" w:rsidRDefault="006A0D4E" w:rsidP="006A0D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0"/>
        </w:rPr>
      </w:pPr>
    </w:p>
    <w:p w14:paraId="06370219" w14:textId="77777777" w:rsidR="00DF79CE" w:rsidRDefault="00BF16FF" w:rsidP="00DC0679">
      <w:pPr>
        <w:ind w:left="0"/>
        <w:jc w:val="center"/>
        <w:rPr>
          <w:b/>
          <w:color w:val="FF0000"/>
          <w:sz w:val="22"/>
        </w:rPr>
      </w:pPr>
      <w:r w:rsidRPr="00DC0679">
        <w:rPr>
          <w:b/>
          <w:color w:val="FF0000"/>
          <w:sz w:val="22"/>
        </w:rPr>
        <w:t>Sample agreement clauses can be obtained from the Alternative Dispute</w:t>
      </w:r>
      <w:r w:rsidR="00DC0679" w:rsidRPr="00DC0679">
        <w:rPr>
          <w:b/>
          <w:color w:val="FF0000"/>
          <w:sz w:val="22"/>
        </w:rPr>
        <w:t xml:space="preserve"> </w:t>
      </w:r>
      <w:r w:rsidRPr="00DC0679">
        <w:rPr>
          <w:b/>
          <w:color w:val="FF0000"/>
          <w:sz w:val="22"/>
        </w:rPr>
        <w:t>Resolution Program staff.</w:t>
      </w:r>
    </w:p>
    <w:sectPr w:rsidR="00DF79CE" w:rsidSect="00DC0679">
      <w:headerReference w:type="default" r:id="rId7"/>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B869E" w14:textId="77777777" w:rsidR="00A541AB" w:rsidRDefault="00A541AB" w:rsidP="00633CD6">
      <w:r>
        <w:separator/>
      </w:r>
    </w:p>
  </w:endnote>
  <w:endnote w:type="continuationSeparator" w:id="0">
    <w:p w14:paraId="23BD2E9D" w14:textId="77777777" w:rsidR="00A541AB" w:rsidRDefault="00A541AB" w:rsidP="0063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charset w:val="01"/>
    <w:family w:val="roman"/>
    <w:pitch w:val="default"/>
  </w:font>
  <w:font w:name="OpenSans-Italic">
    <w:charset w:val="01"/>
    <w:family w:val="auto"/>
    <w:pitch w:val="variable"/>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F45A3" w14:textId="77777777" w:rsidR="00A541AB" w:rsidRDefault="00A541AB" w:rsidP="00633CD6">
      <w:r>
        <w:separator/>
      </w:r>
    </w:p>
  </w:footnote>
  <w:footnote w:type="continuationSeparator" w:id="0">
    <w:p w14:paraId="289AB408" w14:textId="77777777" w:rsidR="00A541AB" w:rsidRDefault="00A541AB" w:rsidP="00633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83F5E" w14:textId="77777777" w:rsidR="00DC0679" w:rsidRDefault="00DC0679">
    <w:pPr>
      <w:pStyle w:val="Header"/>
    </w:pPr>
    <w:r>
      <w:rPr>
        <w:noProof/>
        <w:lang w:eastAsia="en-US" w:bidi="ar-SA"/>
      </w:rPr>
      <w:drawing>
        <wp:anchor distT="0" distB="0" distL="0" distR="0" simplePos="0" relativeHeight="251659264" behindDoc="0" locked="0" layoutInCell="1" allowOverlap="1" wp14:anchorId="0A7277BC" wp14:editId="64682DE1">
          <wp:simplePos x="0" y="0"/>
          <wp:positionH relativeFrom="column">
            <wp:posOffset>0</wp:posOffset>
          </wp:positionH>
          <wp:positionV relativeFrom="paragraph">
            <wp:posOffset>0</wp:posOffset>
          </wp:positionV>
          <wp:extent cx="1835150" cy="873125"/>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873125"/>
                  </a:xfrm>
                  <a:prstGeom prst="rect">
                    <a:avLst/>
                  </a:prstGeom>
                  <a:solidFill>
                    <a:srgbClr val="FFFFFF">
                      <a:alpha val="0"/>
                    </a:srgbClr>
                  </a:solid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51DE2"/>
    <w:multiLevelType w:val="hybridMultilevel"/>
    <w:tmpl w:val="7D4AEF6C"/>
    <w:lvl w:ilvl="0" w:tplc="CFAC84B4">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94EF0"/>
    <w:multiLevelType w:val="hybridMultilevel"/>
    <w:tmpl w:val="DDDE50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BA229B"/>
    <w:multiLevelType w:val="hybridMultilevel"/>
    <w:tmpl w:val="A59E2452"/>
    <w:lvl w:ilvl="0" w:tplc="781426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27BC4"/>
    <w:multiLevelType w:val="hybridMultilevel"/>
    <w:tmpl w:val="D360A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DF07FD"/>
    <w:multiLevelType w:val="hybridMultilevel"/>
    <w:tmpl w:val="5CD4B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21293B"/>
    <w:multiLevelType w:val="hybridMultilevel"/>
    <w:tmpl w:val="0A56DE92"/>
    <w:lvl w:ilvl="0" w:tplc="B5561CB0">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E0E11"/>
    <w:multiLevelType w:val="hybridMultilevel"/>
    <w:tmpl w:val="BF36309C"/>
    <w:lvl w:ilvl="0" w:tplc="781426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8137BA"/>
    <w:multiLevelType w:val="hybridMultilevel"/>
    <w:tmpl w:val="3284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3"/>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CD6"/>
    <w:rsid w:val="00036E9C"/>
    <w:rsid w:val="000B26E8"/>
    <w:rsid w:val="000B5655"/>
    <w:rsid w:val="000D0FAD"/>
    <w:rsid w:val="000E4D11"/>
    <w:rsid w:val="001432B6"/>
    <w:rsid w:val="00265097"/>
    <w:rsid w:val="002A291D"/>
    <w:rsid w:val="002B09F2"/>
    <w:rsid w:val="002E7201"/>
    <w:rsid w:val="00307E03"/>
    <w:rsid w:val="00366B34"/>
    <w:rsid w:val="003C0C78"/>
    <w:rsid w:val="0043054D"/>
    <w:rsid w:val="00477872"/>
    <w:rsid w:val="004865A7"/>
    <w:rsid w:val="005116CA"/>
    <w:rsid w:val="005B62D2"/>
    <w:rsid w:val="005D1E70"/>
    <w:rsid w:val="005F5AC5"/>
    <w:rsid w:val="006323DB"/>
    <w:rsid w:val="00633CD6"/>
    <w:rsid w:val="006530CD"/>
    <w:rsid w:val="006A0D4E"/>
    <w:rsid w:val="007B2D95"/>
    <w:rsid w:val="00800D82"/>
    <w:rsid w:val="008E4115"/>
    <w:rsid w:val="009023B7"/>
    <w:rsid w:val="00971DBB"/>
    <w:rsid w:val="009F2B21"/>
    <w:rsid w:val="00A26086"/>
    <w:rsid w:val="00A541AB"/>
    <w:rsid w:val="00AA4F21"/>
    <w:rsid w:val="00AB4EAB"/>
    <w:rsid w:val="00AD6664"/>
    <w:rsid w:val="00B91B0F"/>
    <w:rsid w:val="00B96A28"/>
    <w:rsid w:val="00BF16FF"/>
    <w:rsid w:val="00C23ADD"/>
    <w:rsid w:val="00CC2ACC"/>
    <w:rsid w:val="00D4031B"/>
    <w:rsid w:val="00DC0679"/>
    <w:rsid w:val="00DF79CE"/>
    <w:rsid w:val="00E2544C"/>
    <w:rsid w:val="00E505C2"/>
    <w:rsid w:val="00E5194C"/>
    <w:rsid w:val="00E6637E"/>
    <w:rsid w:val="00EE5C71"/>
    <w:rsid w:val="00F00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A6D71A"/>
  <w15:docId w15:val="{CCFF7675-DFC2-41D3-BBC5-548E97B6F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D11"/>
    <w:pPr>
      <w:widowControl w:val="0"/>
      <w:suppressAutoHyphens/>
      <w:ind w:left="720"/>
      <w:jc w:val="both"/>
    </w:pPr>
    <w:rPr>
      <w:rFonts w:ascii="Arial" w:eastAsia="Arial Unicode MS" w:hAnsi="Arial" w:cs="Arial Unicode MS"/>
      <w:color w:val="404040" w:themeColor="text1" w:themeTint="BF"/>
      <w:kern w:val="1"/>
      <w:sz w:val="20"/>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CD6"/>
    <w:pPr>
      <w:tabs>
        <w:tab w:val="center" w:pos="4680"/>
        <w:tab w:val="right" w:pos="9360"/>
      </w:tabs>
    </w:pPr>
  </w:style>
  <w:style w:type="character" w:customStyle="1" w:styleId="HeaderChar">
    <w:name w:val="Header Char"/>
    <w:basedOn w:val="DefaultParagraphFont"/>
    <w:link w:val="Header"/>
    <w:uiPriority w:val="99"/>
    <w:rsid w:val="00633CD6"/>
  </w:style>
  <w:style w:type="paragraph" w:styleId="Footer">
    <w:name w:val="footer"/>
    <w:basedOn w:val="Normal"/>
    <w:link w:val="FooterChar"/>
    <w:uiPriority w:val="99"/>
    <w:unhideWhenUsed/>
    <w:rsid w:val="00633CD6"/>
    <w:pPr>
      <w:tabs>
        <w:tab w:val="center" w:pos="4680"/>
        <w:tab w:val="right" w:pos="9360"/>
      </w:tabs>
    </w:pPr>
  </w:style>
  <w:style w:type="character" w:customStyle="1" w:styleId="FooterChar">
    <w:name w:val="Footer Char"/>
    <w:basedOn w:val="DefaultParagraphFont"/>
    <w:link w:val="Footer"/>
    <w:uiPriority w:val="99"/>
    <w:rsid w:val="00633CD6"/>
  </w:style>
  <w:style w:type="paragraph" w:styleId="BalloonText">
    <w:name w:val="Balloon Text"/>
    <w:basedOn w:val="Normal"/>
    <w:link w:val="BalloonTextChar"/>
    <w:uiPriority w:val="99"/>
    <w:semiHidden/>
    <w:unhideWhenUsed/>
    <w:rsid w:val="00633CD6"/>
    <w:rPr>
      <w:rFonts w:ascii="Tahoma" w:hAnsi="Tahoma" w:cs="Tahoma"/>
      <w:sz w:val="16"/>
      <w:szCs w:val="16"/>
    </w:rPr>
  </w:style>
  <w:style w:type="character" w:customStyle="1" w:styleId="BalloonTextChar">
    <w:name w:val="Balloon Text Char"/>
    <w:basedOn w:val="DefaultParagraphFont"/>
    <w:link w:val="BalloonText"/>
    <w:uiPriority w:val="99"/>
    <w:semiHidden/>
    <w:rsid w:val="00633CD6"/>
    <w:rPr>
      <w:rFonts w:ascii="Tahoma" w:hAnsi="Tahoma" w:cs="Tahoma"/>
      <w:sz w:val="16"/>
      <w:szCs w:val="16"/>
    </w:rPr>
  </w:style>
  <w:style w:type="paragraph" w:customStyle="1" w:styleId="BasicParagraph">
    <w:name w:val="[Basic Paragraph]"/>
    <w:basedOn w:val="Normal"/>
    <w:rsid w:val="00633CD6"/>
    <w:pPr>
      <w:textAlignment w:val="center"/>
    </w:pPr>
    <w:rPr>
      <w:rFonts w:ascii="MinionPro-Regular" w:eastAsia="OpenSans-Italic" w:hAnsi="MinionPro-Regular" w:cs="MinionPro-Regular"/>
      <w:color w:val="000000"/>
      <w:sz w:val="24"/>
    </w:rPr>
  </w:style>
  <w:style w:type="character" w:styleId="Hyperlink">
    <w:name w:val="Hyperlink"/>
    <w:rsid w:val="00633CD6"/>
    <w:rPr>
      <w:color w:val="000080"/>
      <w:u w:val="single"/>
    </w:rPr>
  </w:style>
  <w:style w:type="paragraph" w:styleId="ListParagraph">
    <w:name w:val="List Paragraph"/>
    <w:basedOn w:val="Normal"/>
    <w:uiPriority w:val="34"/>
    <w:qFormat/>
    <w:rsid w:val="00BF16FF"/>
    <w:pPr>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73400">
      <w:bodyDiv w:val="1"/>
      <w:marLeft w:val="0"/>
      <w:marRight w:val="0"/>
      <w:marTop w:val="0"/>
      <w:marBottom w:val="0"/>
      <w:divBdr>
        <w:top w:val="none" w:sz="0" w:space="0" w:color="auto"/>
        <w:left w:val="none" w:sz="0" w:space="0" w:color="auto"/>
        <w:bottom w:val="none" w:sz="0" w:space="0" w:color="auto"/>
        <w:right w:val="none" w:sz="0" w:space="0" w:color="auto"/>
      </w:divBdr>
    </w:div>
    <w:div w:id="66860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Keever, Heather</cp:lastModifiedBy>
  <cp:revision>5</cp:revision>
  <cp:lastPrinted>2019-12-20T20:24:00Z</cp:lastPrinted>
  <dcterms:created xsi:type="dcterms:W3CDTF">2019-12-23T15:25:00Z</dcterms:created>
  <dcterms:modified xsi:type="dcterms:W3CDTF">2021-11-22T14:28:00Z</dcterms:modified>
</cp:coreProperties>
</file>